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72033"/>
          <w:sz w:val="44"/>
        </w:rPr>
        <w:t>租车业务用户聚类画像与运营策略报告</w:t>
      </w:r>
    </w:p>
    <w:p>
      <w:r>
        <w:rPr>
          <w:sz w:val="20"/>
        </w:rPr>
        <w:t>基于订单大宽表.csv 与 用户画像大宽表.csv｜K-Means 无监督分群｜用户增长运营视角</w:t>
      </w:r>
    </w:p>
    <w:p>
      <w:pPr>
        <w:pStyle w:val="Heading1"/>
      </w:pPr>
      <w:r>
        <w:t>一、结论摘要</w:t>
      </w:r>
    </w:p>
    <w:p>
      <w:pPr>
        <w:pStyle w:val="ListBullet"/>
      </w:pPr>
      <w:r>
        <w:t>本次聚类最终选择 K=5，同时参考肘部法则与轮廓系数。</w:t>
      </w:r>
    </w:p>
    <w:p>
      <w:pPr>
        <w:pStyle w:val="ListBullet"/>
      </w:pPr>
      <w:r>
        <w:t>核心特征覆盖月消费总额、复购频次、客单价、品类偏好、活跃天数、折扣敏感度、沉睡风险、冲动下单和跨业务广度。</w:t>
      </w:r>
    </w:p>
    <w:p>
      <w:pPr>
        <w:pStyle w:val="ListBullet"/>
      </w:pPr>
      <w:r>
        <w:t>分群结果可直接进入运营系统，形成产品推荐、券包、触达节奏、留存召回四类动作。</w:t>
      </w:r>
    </w:p>
    <w:p>
      <w:pPr>
        <w:pStyle w:val="Heading1"/>
      </w:pPr>
      <w:r>
        <w:t>二、数据预处理逻辑</w:t>
      </w:r>
    </w:p>
    <w:p>
      <w:pPr>
        <w:pStyle w:val="ListBullet"/>
      </w:pPr>
      <w:r>
        <w:t>缺失值：删除用户ID为空记录，数值字段用中位数或 0 兜底，分类字段填充“未知”。</w:t>
      </w:r>
    </w:p>
    <w:p>
      <w:pPr>
        <w:pStyle w:val="ListBullet"/>
      </w:pPr>
      <w:r>
        <w:t>异常金额：对实付金额、应付金额、基础租金、小时均价、优惠券金额、会员折扣金额使用 IQR 截尾。</w:t>
      </w:r>
    </w:p>
    <w:p>
      <w:pPr>
        <w:pStyle w:val="ListBullet"/>
      </w:pPr>
      <w:r>
        <w:t>重复数据：订单按订单ID去重；用户画像按用户ID聚合，数值取均值、分类取众数。</w:t>
      </w:r>
    </w:p>
    <w:p>
      <w:pPr>
        <w:pStyle w:val="ListBullet"/>
      </w:pPr>
      <w:r>
        <w:t>标准化：先做 1%-99% 分位截尾，再做 Z-score 标准化。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orders_raw_rows</w:t>
            </w:r>
          </w:p>
        </w:tc>
        <w:tc>
          <w:tcPr>
            <w:tcW w:type="dxa" w:w="1560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users_raw_rows</w:t>
            </w:r>
          </w:p>
        </w:tc>
        <w:tc>
          <w:tcPr>
            <w:tcW w:type="dxa" w:w="1560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orders_after_user_id</w:t>
            </w:r>
          </w:p>
        </w:tc>
        <w:tc>
          <w:tcPr>
            <w:tcW w:type="dxa" w:w="1560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users_after_user_id</w:t>
            </w:r>
          </w:p>
        </w:tc>
        <w:tc>
          <w:tcPr>
            <w:tcW w:type="dxa" w:w="1560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duplicate_order_rows_removed</w:t>
            </w:r>
          </w:p>
        </w:tc>
        <w:tc>
          <w:tcPr>
            <w:tcW w:type="dxa" w:w="1560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duplicate_user_rows_merged</w:t>
            </w:r>
          </w:p>
        </w:tc>
      </w:tr>
      <w:tr>
        <w:tc>
          <w:tcPr>
            <w:tcW w:type="dxa" w:w="1560"/>
            <w:vAlign w:val="center"/>
          </w:tcPr>
          <w:p>
            <w:r/>
            <w:r>
              <w:rPr>
                <w:b w:val="0"/>
                <w:sz w:val="18"/>
              </w:rPr>
              <w:t>32000</w:t>
            </w:r>
          </w:p>
        </w:tc>
        <w:tc>
          <w:tcPr>
            <w:tcW w:type="dxa" w:w="1560"/>
            <w:vAlign w:val="center"/>
          </w:tcPr>
          <w:p>
            <w:r/>
            <w:r>
              <w:rPr>
                <w:b w:val="0"/>
                <w:sz w:val="18"/>
              </w:rPr>
              <w:t>21664</w:t>
            </w:r>
          </w:p>
        </w:tc>
        <w:tc>
          <w:tcPr>
            <w:tcW w:type="dxa" w:w="1560"/>
            <w:vAlign w:val="center"/>
          </w:tcPr>
          <w:p>
            <w:r/>
            <w:r>
              <w:rPr>
                <w:b w:val="0"/>
                <w:sz w:val="18"/>
              </w:rPr>
              <w:t>32000</w:t>
            </w:r>
          </w:p>
        </w:tc>
        <w:tc>
          <w:tcPr>
            <w:tcW w:type="dxa" w:w="1560"/>
            <w:vAlign w:val="center"/>
          </w:tcPr>
          <w:p>
            <w:r/>
            <w:r>
              <w:rPr>
                <w:b w:val="0"/>
                <w:sz w:val="18"/>
              </w:rPr>
              <w:t>21664</w:t>
            </w:r>
          </w:p>
        </w:tc>
        <w:tc>
          <w:tcPr>
            <w:tcW w:type="dxa" w:w="1560"/>
            <w:vAlign w:val="center"/>
          </w:tcPr>
          <w:p>
            <w:r/>
            <w:r>
              <w:rPr>
                <w:b w:val="0"/>
                <w:sz w:val="18"/>
              </w:rPr>
              <w:t>0</w:t>
            </w:r>
          </w:p>
        </w:tc>
        <w:tc>
          <w:tcPr>
            <w:tcW w:type="dxa" w:w="1560"/>
            <w:vAlign w:val="center"/>
          </w:tcPr>
          <w:p>
            <w:r/>
            <w:r>
              <w:rPr>
                <w:b w:val="0"/>
                <w:sz w:val="18"/>
              </w:rPr>
              <w:t>0</w:t>
            </w:r>
          </w:p>
        </w:tc>
      </w:tr>
    </w:tbl>
    <w:p/>
    <w:p>
      <w:pPr>
        <w:pStyle w:val="Heading1"/>
      </w:pPr>
      <w:r>
        <w:t>三、K 值筛选与聚类可视化</w:t>
      </w:r>
    </w:p>
    <w:p>
      <w:r>
        <w:t>下图展示不同 K 值下的组内误差平方和和轮廓系数，最终 K 值由两者联合判断。</w:t>
      </w:r>
    </w:p>
    <w:p>
      <w:r>
        <w:drawing>
          <wp:inline xmlns:a="http://schemas.openxmlformats.org/drawingml/2006/main" xmlns:pic="http://schemas.openxmlformats.org/drawingml/2006/picture">
            <wp:extent cx="5669280" cy="31088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_k值选择_肘部法则与轮廓系数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088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669280" cy="332702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_聚类分群散点分布_PCA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270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669280" cy="485011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3_各人群消费指标雷达图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48501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四、分群规模与营收贡献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c>
          <w:tcPr>
            <w:tcW w:type="dxa" w:w="648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分群</w:t>
            </w:r>
          </w:p>
        </w:tc>
        <w:tc>
          <w:tcPr>
            <w:tcW w:type="dxa" w:w="2232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标签</w:t>
            </w:r>
          </w:p>
        </w:tc>
        <w:tc>
          <w:tcPr>
            <w:tcW w:type="dxa" w:w="936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用户数</w:t>
            </w:r>
          </w:p>
        </w:tc>
        <w:tc>
          <w:tcPr>
            <w:tcW w:type="dxa" w:w="1080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用户占比</w:t>
            </w:r>
          </w:p>
        </w:tc>
        <w:tc>
          <w:tcPr>
            <w:tcW w:type="dxa" w:w="1080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营收占比</w:t>
            </w:r>
          </w:p>
        </w:tc>
        <w:tc>
          <w:tcPr>
            <w:tcW w:type="dxa" w:w="1152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月均消费</w:t>
            </w:r>
          </w:p>
        </w:tc>
        <w:tc>
          <w:tcPr>
            <w:tcW w:type="dxa" w:w="1080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复购频次</w:t>
            </w:r>
          </w:p>
        </w:tc>
        <w:tc>
          <w:tcPr>
            <w:tcW w:type="dxa" w:w="1080"/>
            <w:vAlign w:val="center"/>
            <w:shd w:fill="F2F4F7"/>
          </w:tcPr>
          <w:p>
            <w:r/>
            <w:r>
              <w:rPr>
                <w:b/>
                <w:color w:val="172033"/>
                <w:sz w:val="18"/>
              </w:rPr>
              <w:t>客单价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b w:val="0"/>
                <w:sz w:val="18"/>
              </w:rPr>
              <w:t>0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b w:val="0"/>
                <w:sz w:val="18"/>
              </w:rPr>
              <w:t>低频沉睡人群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8"/>
              </w:rPr>
              <w:t>540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0.02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0.00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8"/>
              </w:rPr>
              <w:t>0.00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0.00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0.00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b w:val="0"/>
                <w:sz w:val="18"/>
              </w:rPr>
              <w:t>价格敏感人群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8"/>
              </w:rPr>
              <w:t>8313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0.38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0.19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8"/>
              </w:rPr>
              <w:t>60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0.17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347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b w:val="0"/>
                <w:sz w:val="18"/>
              </w:rPr>
              <w:t>高价值复购人群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8"/>
              </w:rPr>
              <w:t>5181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0.24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0.46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8"/>
              </w:rPr>
              <w:t>229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0.45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510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b w:val="0"/>
                <w:sz w:val="18"/>
              </w:rPr>
              <w:t>冲动消费人群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8"/>
              </w:rPr>
              <w:t>4030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0.19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0.10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8"/>
              </w:rPr>
              <w:t>66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0.18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378</w:t>
            </w:r>
          </w:p>
        </w:tc>
      </w:tr>
      <w:tr>
        <w:tc>
          <w:tcPr>
            <w:tcW w:type="dxa" w:w="648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b w:val="0"/>
                <w:sz w:val="18"/>
              </w:rPr>
              <w:t>品类专一人群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8"/>
              </w:rPr>
              <w:t>3600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0.17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0.25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8"/>
              </w:rPr>
              <w:t>179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0.18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b w:val="0"/>
                <w:sz w:val="18"/>
              </w:rPr>
              <w:t>1012</w:t>
            </w:r>
          </w:p>
        </w:tc>
      </w:tr>
    </w:tbl>
    <w:p/>
    <w:p>
      <w:r>
        <w:drawing>
          <wp:inline xmlns:a="http://schemas.openxmlformats.org/drawingml/2006/main" xmlns:pic="http://schemas.openxmlformats.org/drawingml/2006/picture">
            <wp:extent cx="5669280" cy="3108862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_分群用户占比与营收贡献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088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五、人群画像深度解读</w:t>
      </w:r>
    </w:p>
    <w:p>
      <w:pPr>
        <w:pStyle w:val="Heading2"/>
      </w:pPr>
      <w:r>
        <w:t>Cluster 0｜低频沉睡人群</w:t>
      </w:r>
    </w:p>
    <w:p>
      <w:r>
        <w:t>该群体用户占比 2.5%，贡献营收 0.0%；月消费为低水平，复购为低水平，客单价为低水平，活跃天数为低水平，折扣敏感度为低，品类偏好分散，沉睡风险高。</w:t>
      </w:r>
    </w:p>
    <w:p>
      <w:pPr>
        <w:pStyle w:val="ListBullet"/>
      </w:pPr>
      <w:r>
        <w:t>量化依据：月均消费 0 元，复购频次 0.00 单/月，客单价 0 元，活跃天数 0.0 天，折扣敏感度 0.00，品类集中度 0.00，距最近下单 999.0 天，冲动下单分 0.00。</w:t>
      </w:r>
    </w:p>
    <w:p>
      <w:pPr>
        <w:pStyle w:val="ListBullet"/>
      </w:pPr>
      <w:r>
        <w:t>消费动机：租车需求偏偶发，通常由旅游、返乡、临时办事等场景触发。</w:t>
      </w:r>
    </w:p>
    <w:p>
      <w:pPr>
        <w:pStyle w:val="ListBullet"/>
      </w:pPr>
      <w:r>
        <w:t>行为痛点：近期未形成稳定用车习惯，对平台记忆弱，重新下单需要明显理由。</w:t>
      </w:r>
    </w:p>
    <w:p>
      <w:pPr>
        <w:pStyle w:val="ListBullet"/>
      </w:pPr>
      <w:r>
        <w:t>核心需求：低门槛召回、场景化提醒、熟悉门店/车型的一键复租。</w:t>
      </w:r>
    </w:p>
    <w:p>
      <w:pPr>
        <w:pStyle w:val="ListBullet"/>
      </w:pPr>
      <w:r>
        <w:t>流失风险：高，尤其当距最近下单天数处于高位且活跃天数低时，容易彻底沉默。</w:t>
      </w:r>
    </w:p>
    <w:p>
      <w:pPr>
        <w:pStyle w:val="ListBullet"/>
      </w:pPr>
      <w:r>
        <w:t>生命周期阶段：沉睡/流失预警期。</w:t>
      </w:r>
    </w:p>
    <w:p>
      <w:pPr>
        <w:pStyle w:val="Heading2"/>
      </w:pPr>
      <w:r>
        <w:t>Cluster 1｜价格敏感人群</w:t>
      </w:r>
    </w:p>
    <w:p>
      <w:r>
        <w:t>该群体用户占比 38.4%，贡献营收 19.3%；月消费为低水平，复购为低水平，客单价为低水平，活跃天数为低水平，折扣敏感度为高，品类偏好集中，沉睡风险中。</w:t>
      </w:r>
    </w:p>
    <w:p>
      <w:pPr>
        <w:pStyle w:val="ListBullet"/>
      </w:pPr>
      <w:r>
        <w:t>量化依据：月均消费 60 元，复购频次 0.17 单/月，客单价 347 元，活跃天数 1.0 天，折扣敏感度 0.29，品类集中度 1.00，距最近下单 89.8 天，冲动下单分 0.00。</w:t>
      </w:r>
    </w:p>
    <w:p>
      <w:pPr>
        <w:pStyle w:val="ListBullet"/>
      </w:pPr>
      <w:r>
        <w:t>消费动机：愿意下单，但明显关注到手价、优惠券和会员折扣。</w:t>
      </w:r>
    </w:p>
    <w:p>
      <w:pPr>
        <w:pStyle w:val="ListBullet"/>
      </w:pPr>
      <w:r>
        <w:t>行为痛点：价格不透明或优惠门槛复杂会阻断转化；单纯涨价会抑制订单。</w:t>
      </w:r>
    </w:p>
    <w:p>
      <w:pPr>
        <w:pStyle w:val="ListBullet"/>
      </w:pPr>
      <w:r>
        <w:t>核心需求：清晰低价、限时券、满减券、周末券和可感知的折扣收益。</w:t>
      </w:r>
    </w:p>
    <w:p>
      <w:pPr>
        <w:pStyle w:val="ListBullet"/>
      </w:pPr>
      <w:r>
        <w:t>流失风险：中高，价格优势消失时容易被其他平台截流。</w:t>
      </w:r>
    </w:p>
    <w:p>
      <w:pPr>
        <w:pStyle w:val="ListBullet"/>
      </w:pPr>
      <w:r>
        <w:t>生命周期阶段：促销驱动型活跃/转化期。</w:t>
      </w:r>
    </w:p>
    <w:p>
      <w:pPr>
        <w:pStyle w:val="Heading2"/>
      </w:pPr>
      <w:r>
        <w:t>Cluster 2｜高价值复购人群</w:t>
      </w:r>
    </w:p>
    <w:p>
      <w:r>
        <w:t>该群体用户占比 23.9%，贡献营收 45.7%；月消费为高水平，复购为高水平，客单价为高水平，活跃天数为高水平，折扣敏感度为低，品类偏好分散，沉睡风险低。</w:t>
      </w:r>
    </w:p>
    <w:p>
      <w:pPr>
        <w:pStyle w:val="ListBullet"/>
      </w:pPr>
      <w:r>
        <w:t>量化依据：月均消费 229 元，复购频次 0.45 单/月，客单价 510 元，活跃天数 2.7 天，折扣敏感度 0.22，品类集中度 0.52，距最近下单 48.4 天，冲动下单分 0.11。</w:t>
      </w:r>
    </w:p>
    <w:p>
      <w:pPr>
        <w:pStyle w:val="ListBullet"/>
      </w:pPr>
      <w:r>
        <w:t>消费动机：出行刚需和品质确定性，愿意为稳定车型、便捷取还车和会员权益付费。</w:t>
      </w:r>
    </w:p>
    <w:p>
      <w:pPr>
        <w:pStyle w:val="ListBullet"/>
      </w:pPr>
      <w:r>
        <w:t>行为痛点：如果常用车型/门店不可用，或会员权益感知弱，容易转向竞品高确定性供给。</w:t>
      </w:r>
    </w:p>
    <w:p>
      <w:pPr>
        <w:pStyle w:val="ListBullet"/>
      </w:pPr>
      <w:r>
        <w:t>核心需求：常用车型优先保障、快速复租、会员价和免排队/优先取车。</w:t>
      </w:r>
    </w:p>
    <w:p>
      <w:pPr>
        <w:pStyle w:val="ListBullet"/>
      </w:pPr>
      <w:r>
        <w:t>流失风险：流失风险不来自价格，而来自体验波动和权益不明显。</w:t>
      </w:r>
    </w:p>
    <w:p>
      <w:pPr>
        <w:pStyle w:val="ListBullet"/>
      </w:pPr>
      <w:r>
        <w:t>生命周期阶段：成熟价值期，可做复购经营和高等级会员运营。</w:t>
      </w:r>
    </w:p>
    <w:p>
      <w:pPr>
        <w:pStyle w:val="Heading2"/>
      </w:pPr>
      <w:r>
        <w:t>Cluster 3｜冲动消费人群</w:t>
      </w:r>
    </w:p>
    <w:p>
      <w:r>
        <w:t>该群体用户占比 18.6%，贡献营收 10.2%；月消费为中水平，复购为中水平，客单价为中水平，活跃天数为中水平，折扣敏感度为高，品类偏好中，沉睡风险高。</w:t>
      </w:r>
    </w:p>
    <w:p>
      <w:pPr>
        <w:pStyle w:val="ListBullet"/>
      </w:pPr>
      <w:r>
        <w:t>量化依据：月均消费 66 元，复购频次 0.18 单/月，客单价 378 元，活跃天数 1.1 天，折扣敏感度 0.29，品类集中度 1.00，距最近下单 90.4 天，冲动下单分 0.38。</w:t>
      </w:r>
    </w:p>
    <w:p>
      <w:pPr>
        <w:pStyle w:val="ListBullet"/>
      </w:pPr>
      <w:r>
        <w:t>消费动机：下单决策更受即时场景、广告/Push、短提前量需求影响。</w:t>
      </w:r>
    </w:p>
    <w:p>
      <w:pPr>
        <w:pStyle w:val="ListBullet"/>
      </w:pPr>
      <w:r>
        <w:t>行为痛点：决策窗口短，价格、车型、取车位置需要在首屏快速确认。</w:t>
      </w:r>
    </w:p>
    <w:p>
      <w:pPr>
        <w:pStyle w:val="ListBullet"/>
      </w:pPr>
      <w:r>
        <w:t>核心需求：附近可取、即时可用、价格直接、短链路下单。</w:t>
      </w:r>
    </w:p>
    <w:p>
      <w:pPr>
        <w:pStyle w:val="ListBullet"/>
      </w:pPr>
      <w:r>
        <w:t>流失风险：中等，触达时机错过后需求可能快速消失。</w:t>
      </w:r>
    </w:p>
    <w:p>
      <w:pPr>
        <w:pStyle w:val="ListBullet"/>
      </w:pPr>
      <w:r>
        <w:t>生命周期阶段：即时转化期。</w:t>
      </w:r>
    </w:p>
    <w:p>
      <w:pPr>
        <w:pStyle w:val="Heading2"/>
      </w:pPr>
      <w:r>
        <w:t>Cluster 4｜品类专一人群</w:t>
      </w:r>
    </w:p>
    <w:p>
      <w:r>
        <w:t>该群体用户占比 16.6%，贡献营收 24.8%；月消费为高水平，复购为高水平，客单价为高水平，活跃天数为高水平，折扣敏感度为中，品类偏好集中，沉睡风险低。</w:t>
      </w:r>
    </w:p>
    <w:p>
      <w:pPr>
        <w:pStyle w:val="ListBullet"/>
      </w:pPr>
      <w:r>
        <w:t>量化依据：月均消费 179 元，复购频次 0.18 单/月，客单价 1012 元，活跃天数 1.1 天，折扣敏感度 0.25，品类集中度 1.00，距最近下单 85.7 天，冲动下单分 0.06。</w:t>
      </w:r>
    </w:p>
    <w:p>
      <w:pPr>
        <w:pStyle w:val="ListBullet"/>
      </w:pPr>
      <w:r>
        <w:t>消费动机：车型偏好稳定，对某类车型的适配场景明确。</w:t>
      </w:r>
    </w:p>
    <w:p>
      <w:pPr>
        <w:pStyle w:val="ListBullet"/>
      </w:pPr>
      <w:r>
        <w:t>行为痛点：推荐泛化、车型替代不清晰，容易让用户觉得没有合适选择。</w:t>
      </w:r>
    </w:p>
    <w:p>
      <w:pPr>
        <w:pStyle w:val="ListBullet"/>
      </w:pPr>
      <w:r>
        <w:t>核心需求：围绕偏好车型做库存保障、相似车型推荐和套餐化权益。</w:t>
      </w:r>
    </w:p>
    <w:p>
      <w:pPr>
        <w:pStyle w:val="ListBullet"/>
      </w:pPr>
      <w:r>
        <w:t>流失风险：中等，核心车型缺供时风险上升。</w:t>
      </w:r>
    </w:p>
    <w:p>
      <w:pPr>
        <w:pStyle w:val="ListBullet"/>
      </w:pPr>
      <w:r>
        <w:t>生命周期阶段：偏好稳定期，可向相邻车型扩品类。</w:t>
      </w:r>
    </w:p>
    <w:p>
      <w:pPr>
        <w:pStyle w:val="Heading1"/>
      </w:pPr>
      <w:r>
        <w:t>六、分人群定制营销与运营策略</w:t>
      </w:r>
    </w:p>
    <w:p>
      <w:pPr>
        <w:pStyle w:val="Heading2"/>
      </w:pPr>
      <w:r>
        <w:t>Cluster 0｜低频沉睡人群</w:t>
      </w:r>
    </w:p>
    <w:p>
      <w:pPr>
        <w:pStyle w:val="ListNumber"/>
      </w:pPr>
      <w:r>
        <w:t>个性化产品推荐策略：优先推荐机场/高铁站/旅游城市的一日租、周末租和短途场景包；突出低门槛和熟悉门店。</w:t>
      </w:r>
    </w:p>
    <w:p>
      <w:pPr>
        <w:pStyle w:val="ListNumber"/>
      </w:pPr>
      <w:r>
        <w:t>优惠券/折扣定价运营方案：使用召回券、首日立减、免服务费券，优惠有效期控制在 3-5 天，制造明确行动窗口。</w:t>
      </w:r>
    </w:p>
    <w:p>
      <w:pPr>
        <w:pStyle w:val="ListNumber"/>
      </w:pPr>
      <w:r>
        <w:t>社群/短信触达节奏与文案风格：短信和 Push 可做 3 段式召回：第 1 天权益提醒，第 3 天场景提醒，第 5 天到期提醒；文案短、直接、有倒计时。</w:t>
      </w:r>
    </w:p>
    <w:p>
      <w:pPr>
        <w:pStyle w:val="ListNumber"/>
      </w:pPr>
      <w:r>
        <w:t>留存促活、唤醒沉睡用户专项动作：按最近下单城市和车型生成“一键再租”；对 60 天以上沉睡用户做旅游/返乡节点专项唤醒。</w:t>
      </w:r>
    </w:p>
    <w:p>
      <w:pPr>
        <w:pStyle w:val="Heading2"/>
      </w:pPr>
      <w:r>
        <w:t>Cluster 1｜价格敏感人群</w:t>
      </w:r>
    </w:p>
    <w:p>
      <w:pPr>
        <w:pStyle w:val="ListNumber"/>
      </w:pPr>
      <w:r>
        <w:t>个性化产品推荐策略：推荐经济型、新能源和限时特价车源；列表排序优先显示到手价、优惠后价格和低价可取门店。</w:t>
      </w:r>
    </w:p>
    <w:p>
      <w:pPr>
        <w:pStyle w:val="ListNumber"/>
      </w:pPr>
      <w:r>
        <w:t>优惠券/折扣定价运营方案：采用满减券、周末券、低峰时段券；避免普发大额券，按券后转化率和客单价设置分层券包。</w:t>
      </w:r>
    </w:p>
    <w:p>
      <w:pPr>
        <w:pStyle w:val="ListNumber"/>
      </w:pPr>
      <w:r>
        <w:t>社群/短信触达节奏与文案风格：每周 2-3 次可接受，但必须围绕明确优惠点：今晚 12 点前可用、周末低价、低峰补贴。</w:t>
      </w:r>
    </w:p>
    <w:p>
      <w:pPr>
        <w:pStyle w:val="ListNumber"/>
      </w:pPr>
      <w:r>
        <w:t>留存促活、唤醒沉睡用户专项动作：建立券后复购观察：用券后 14 天内未复购，推相似低价车型；连续只领不下单则降低补贴、改推低价库存。</w:t>
      </w:r>
    </w:p>
    <w:p>
      <w:pPr>
        <w:pStyle w:val="Heading2"/>
      </w:pPr>
      <w:r>
        <w:t>Cluster 2｜高价值复购人群</w:t>
      </w:r>
    </w:p>
    <w:p>
      <w:pPr>
        <w:pStyle w:val="ListNumber"/>
      </w:pPr>
      <w:r>
        <w:t>个性化产品推荐策略：优先推荐舒适型/SUV/商务型中该群体历史偏好车型；在常用城市展示“常用门店一键复租”和会员专属车源。</w:t>
      </w:r>
    </w:p>
    <w:p>
      <w:pPr>
        <w:pStyle w:val="ListNumber"/>
      </w:pPr>
      <w:r>
        <w:t>优惠券/折扣定价运营方案：不主打大额券，采用会员价、服务费减免、升级券、长租阶梯权益；券门槛绑定 2 次复购或高客单车型。</w:t>
      </w:r>
    </w:p>
    <w:p>
      <w:pPr>
        <w:pStyle w:val="ListNumber"/>
      </w:pPr>
      <w:r>
        <w:t>社群/短信触达节奏与文案风格：短信/Push 频率控制在每周 1 次以内，文案强调权益确定性：常用车型已为你保留、会员专属价、本周可升级。</w:t>
      </w:r>
    </w:p>
    <w:p>
      <w:pPr>
        <w:pStyle w:val="ListNumber"/>
      </w:pPr>
      <w:r>
        <w:t>留存促活、唤醒沉睡用户专项动作：建立高价值用户白名单，遇到常用城市库存不足时推替代车型；连续 45 天未下单触发专属客服/权益召回。</w:t>
      </w:r>
    </w:p>
    <w:p>
      <w:pPr>
        <w:pStyle w:val="Heading2"/>
      </w:pPr>
      <w:r>
        <w:t>Cluster 3｜冲动消费人群</w:t>
      </w:r>
    </w:p>
    <w:p>
      <w:pPr>
        <w:pStyle w:val="ListNumber"/>
      </w:pPr>
      <w:r>
        <w:t>个性化产品推荐策略：推荐附近可取、即时可用、短租套餐和广告承接页热门车型；首屏减少选择负担。</w:t>
      </w:r>
    </w:p>
    <w:p>
      <w:pPr>
        <w:pStyle w:val="ListNumber"/>
      </w:pPr>
      <w:r>
        <w:t>优惠券/折扣定价运营方案：使用限时券、整点秒杀、短提前量下单优惠；券有效期以小时计，提高即时转化。</w:t>
      </w:r>
    </w:p>
    <w:p>
      <w:pPr>
        <w:pStyle w:val="ListNumber"/>
      </w:pPr>
      <w:r>
        <w:t>社群/短信触达节奏与文案风格：触达依赖时机，适合午晚高峰、周五下午、节前 1-2 天；文案直接：附近有车、现在可取、立减到账。</w:t>
      </w:r>
    </w:p>
    <w:p>
      <w:pPr>
        <w:pStyle w:val="ListNumber"/>
      </w:pPr>
      <w:r>
        <w:t>留存促活、唤醒沉睡用户专项动作：对短提前量用户沉淀常用地点，下一次打开 App 直接展示附近车源；未支付用户 30 分钟内二次提醒。</w:t>
      </w:r>
    </w:p>
    <w:p>
      <w:pPr>
        <w:pStyle w:val="Heading2"/>
      </w:pPr>
      <w:r>
        <w:t>Cluster 4｜品类专一人群</w:t>
      </w:r>
    </w:p>
    <w:p>
      <w:pPr>
        <w:pStyle w:val="ListNumber"/>
      </w:pPr>
      <w:r>
        <w:t>个性化产品推荐策略：围绕偏好车型做“同级车型/更高一级车型/同车型长租套餐”推荐，不做泛化推荐。</w:t>
      </w:r>
    </w:p>
    <w:p>
      <w:pPr>
        <w:pStyle w:val="ListNumber"/>
      </w:pPr>
      <w:r>
        <w:t>优惠券/折扣定价运营方案：对核心车型给小额锁价券或升级券，对相邻车型给试用券，目标是扩展品类而非单纯降价。</w:t>
      </w:r>
    </w:p>
    <w:p>
      <w:pPr>
        <w:pStyle w:val="ListNumber"/>
      </w:pPr>
      <w:r>
        <w:t>社群/短信触达节奏与文案风格：触达频率每 7-10 天一次，文案强调车型适配：你常租的 SUV 已上新、同级新能源更省、商务型周末可升级。</w:t>
      </w:r>
    </w:p>
    <w:p>
      <w:pPr>
        <w:pStyle w:val="ListNumber"/>
      </w:pPr>
      <w:r>
        <w:t>留存促活、唤醒沉睡用户专项动作：当偏好车型无库存时自动推替代车型解释卡；对品类专一但复购下降用户推“同级保障车源”。</w:t>
      </w:r>
    </w:p>
    <w:p>
      <w:pPr>
        <w:pStyle w:val="Heading1"/>
      </w:pPr>
      <w:r>
        <w:t>七、平台整体运营优化建议</w:t>
      </w:r>
    </w:p>
    <w:p>
      <w:pPr>
        <w:pStyle w:val="Heading2"/>
      </w:pPr>
      <w:r>
        <w:t>短期活动</w:t>
      </w:r>
    </w:p>
    <w:p>
      <w:pPr>
        <w:pStyle w:val="ListBullet"/>
      </w:pPr>
      <w:r>
        <w:t>用城市/渠道/车型维度叠加分群标签做活动，不再全量撒券。</w:t>
      </w:r>
    </w:p>
    <w:p>
      <w:pPr>
        <w:pStyle w:val="ListBullet"/>
      </w:pPr>
      <w:r>
        <w:t>价格敏感和沉睡人群使用 3-5 天限时券；高价值人群使用会员权益和服务升级。</w:t>
      </w:r>
    </w:p>
    <w:p>
      <w:pPr>
        <w:pStyle w:val="ListBullet"/>
      </w:pPr>
      <w:r>
        <w:t>在机场、高铁站、旅游城市和周末高峰前置活动曝光，承接临时用车需求。</w:t>
      </w:r>
    </w:p>
    <w:p>
      <w:pPr>
        <w:pStyle w:val="Heading2"/>
      </w:pPr>
      <w:r>
        <w:t>长期用户分层体系</w:t>
      </w:r>
    </w:p>
    <w:p>
      <w:pPr>
        <w:pStyle w:val="ListBullet"/>
      </w:pPr>
      <w:r>
        <w:t>建立用户分层标签表：价值层级、复购层级、折扣敏感、品类偏好、沉睡风险、冲动下单、跨业务高潜。</w:t>
      </w:r>
    </w:p>
    <w:p>
      <w:pPr>
        <w:pStyle w:val="ListBullet"/>
      </w:pPr>
      <w:r>
        <w:t>每月重跑聚类，监控各分群用户占比、营收贡献、复购变化和流失迁移。</w:t>
      </w:r>
    </w:p>
    <w:p>
      <w:pPr>
        <w:pStyle w:val="ListBullet"/>
      </w:pPr>
      <w:r>
        <w:t>将分群接入触达系统，不同人群使用不同券包、推荐位、短信模板和召回周期。</w:t>
      </w:r>
    </w:p>
    <w:p>
      <w:pPr>
        <w:pStyle w:val="ListBullet"/>
      </w:pPr>
      <w:r>
        <w:t>补充库存、投放成本、节假日、竞品价格和天气数据，提升归因与营销 ROI 判断。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